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A7" w:rsidRPr="008761A7" w:rsidRDefault="008761A7" w:rsidP="008761A7">
      <w:pPr>
        <w:jc w:val="center"/>
        <w:rPr>
          <w:b/>
          <w:sz w:val="44"/>
          <w:szCs w:val="44"/>
        </w:rPr>
      </w:pPr>
      <w:r w:rsidRPr="008761A7">
        <w:rPr>
          <w:rFonts w:hint="eastAsia"/>
          <w:b/>
          <w:sz w:val="44"/>
          <w:szCs w:val="44"/>
        </w:rPr>
        <w:t>CRM</w:t>
      </w:r>
      <w:r w:rsidRPr="008761A7">
        <w:rPr>
          <w:rFonts w:hint="eastAsia"/>
          <w:b/>
          <w:sz w:val="44"/>
          <w:szCs w:val="44"/>
        </w:rPr>
        <w:t>系</w:t>
      </w:r>
      <w:r w:rsidRPr="008761A7">
        <w:rPr>
          <w:b/>
          <w:sz w:val="44"/>
          <w:szCs w:val="44"/>
        </w:rPr>
        <w:t>统</w:t>
      </w:r>
      <w:r w:rsidRPr="008761A7">
        <w:rPr>
          <w:rFonts w:hint="eastAsia"/>
          <w:b/>
          <w:sz w:val="44"/>
          <w:szCs w:val="44"/>
        </w:rPr>
        <w:t>对</w:t>
      </w:r>
      <w:r w:rsidRPr="008761A7">
        <w:rPr>
          <w:b/>
          <w:sz w:val="44"/>
          <w:szCs w:val="44"/>
        </w:rPr>
        <w:t>比</w:t>
      </w:r>
      <w:r w:rsidRPr="008761A7">
        <w:rPr>
          <w:rFonts w:hint="eastAsia"/>
          <w:b/>
          <w:sz w:val="44"/>
          <w:szCs w:val="44"/>
        </w:rPr>
        <w:t>表</w:t>
      </w:r>
    </w:p>
    <w:p w:rsidR="008761A7" w:rsidRDefault="008761A7"/>
    <w:p w:rsidR="008761A7" w:rsidRDefault="008761A7"/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2081"/>
        <w:gridCol w:w="2073"/>
        <w:gridCol w:w="2064"/>
      </w:tblGrid>
      <w:tr w:rsidR="008761A7" w:rsidRPr="008761A7" w:rsidTr="00EE6181">
        <w:trPr>
          <w:trHeight w:val="616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功能特性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知客</w:t>
            </w: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CRM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其他</w:t>
            </w: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CRM#1</w:t>
            </w: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其他</w:t>
            </w: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CRM#2</w:t>
            </w:r>
          </w:p>
        </w:tc>
      </w:tr>
      <w:tr w:rsidR="008761A7" w:rsidRPr="008761A7" w:rsidTr="00EE6181">
        <w:trPr>
          <w:trHeight w:val="917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安装方式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私有云（本地安装），支持异地访问。支持阿里云。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616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完善的客户管理功能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092BE8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>
              <w:rPr>
                <w:rFonts w:ascii="Lato" w:hAnsi="Lato"/>
                <w:color w:val="656565"/>
                <w:szCs w:val="21"/>
                <w:shd w:val="clear" w:color="auto" w:fill="FFFFFF"/>
              </w:rPr>
              <w:t>可通过扩展字段和业务关联表单无限扩展客户资料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61A7" w:rsidRPr="008761A7" w:rsidTr="00EE6181">
        <w:trPr>
          <w:trHeight w:val="932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客户自动分类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通过对客户各项数据的条件判定，自动进行分类画像。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917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客户回落机制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有，可以按客户类型来配置不同的回落机制。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932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销售过程是否支持流程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支持，可以引入工作流来推动销售过程。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233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流程审批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有，可以增加任意多个智能表单和工作流，支持专业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OA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的审批机制。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248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统计模块的表现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统计功能丰富，大量决策导向型报表，支持数据透视表和自定义报表。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248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lastRenderedPageBreak/>
              <w:t>是否开放接口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基于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Json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格式的数据开放接口，支持第三方系统和网页客户端对接数据。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932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是否有移动端应用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有，苹果和安卓应用，同时支持与钉钉和企业微信集成。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233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系统扩展性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通过系统配置、智能表单、扩展字段、开放接口和定制开发来实现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CRM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系统扩展性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932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软件操作性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界面统一整洁，内置大量用户帮助，系统响应较快，无卡顿现像。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549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软件安全性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私有云部署，将数据交由企业管理。系统经过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WebScan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安全验证，技术工程师提供安全辅助，如服务器环境建议和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https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安全访问。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233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数据保护机制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通过权限限定防止数据误删。同时客户镜像和备份计划，使客户资料和数据库随时可以恢复。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932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lastRenderedPageBreak/>
              <w:t>是否支持定制开发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支持，较快的需求理解和反馈速度，免费搭建功能原型进行沟通。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549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定制周期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短，知客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CRM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有大量的案例积累和成熟的嵌入式工作流，涉及到一些流程方面的定制开发时周期非常短，因此定制价格也较为合理。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932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价格体系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按用户数报价，有梯度优惠。一次付费，终身使用。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1564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相比同行的技术创新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有，任意业务动作都可以触发的嵌入式流程，基于自然语言的数据检索功能，与众不同的报表（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BKP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分析、战略地图）也是一个创新点。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616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大客户案例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华为、科勒（亚太区）、中科曙光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917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客服体系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专属客服，一般咨询问题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5*8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，系统紧急故障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7*24</w:t>
            </w: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。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761A7" w:rsidRPr="008761A7" w:rsidTr="00EE6181">
        <w:trPr>
          <w:trHeight w:val="616"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b/>
                <w:bCs/>
                <w:color w:val="656565"/>
                <w:kern w:val="0"/>
                <w:szCs w:val="21"/>
              </w:rPr>
              <w:t>总体评分</w:t>
            </w:r>
          </w:p>
        </w:tc>
        <w:tc>
          <w:tcPr>
            <w:tcW w:w="12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？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？</w:t>
            </w:r>
          </w:p>
        </w:tc>
        <w:tc>
          <w:tcPr>
            <w:tcW w:w="1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61A7" w:rsidRPr="008761A7" w:rsidRDefault="008761A7" w:rsidP="008761A7">
            <w:pPr>
              <w:widowControl/>
              <w:spacing w:after="300"/>
              <w:jc w:val="left"/>
              <w:rPr>
                <w:rFonts w:ascii="Lato" w:eastAsia="宋体" w:hAnsi="Lato" w:cs="宋体"/>
                <w:color w:val="656565"/>
                <w:kern w:val="0"/>
                <w:szCs w:val="21"/>
              </w:rPr>
            </w:pPr>
            <w:r w:rsidRPr="008761A7">
              <w:rPr>
                <w:rFonts w:ascii="Lato" w:eastAsia="宋体" w:hAnsi="Lato" w:cs="宋体"/>
                <w:color w:val="656565"/>
                <w:kern w:val="0"/>
                <w:szCs w:val="21"/>
              </w:rPr>
              <w:t>？</w:t>
            </w:r>
          </w:p>
        </w:tc>
      </w:tr>
    </w:tbl>
    <w:p w:rsidR="008761A7" w:rsidRDefault="008761A7"/>
    <w:sectPr w:rsidR="00876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A7"/>
    <w:rsid w:val="00092BE8"/>
    <w:rsid w:val="008761A7"/>
    <w:rsid w:val="00BE2CCF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BFAC-9322-46F2-A7C5-28E0D7A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743</Characters>
  <Application>Microsoft Office Word</Application>
  <DocSecurity>0</DocSecurity>
  <Lines>6</Lines>
  <Paragraphs>1</Paragraphs>
  <ScaleCrop>false</ScaleCrop>
  <Company>GoLongSoft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Dingole</dc:creator>
  <cp:keywords/>
  <dc:description/>
  <cp:lastModifiedBy>Dingole</cp:lastModifiedBy>
  <cp:revision>3</cp:revision>
  <dcterms:created xsi:type="dcterms:W3CDTF">2018-08-27T08:46:00Z</dcterms:created>
  <dcterms:modified xsi:type="dcterms:W3CDTF">2018-08-27T09:05:00Z</dcterms:modified>
</cp:coreProperties>
</file>